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14D1D" w14:textId="0C5D41EA" w:rsidR="00D71FAB" w:rsidRDefault="00D71FAB" w:rsidP="00146214">
      <w:pPr>
        <w:pStyle w:val="BodyText"/>
        <w:spacing w:before="71"/>
      </w:pPr>
    </w:p>
    <w:p w14:paraId="4A8858EE" w14:textId="77777777" w:rsidR="00D71FAB" w:rsidRDefault="00146214">
      <w:pPr>
        <w:pStyle w:val="BodyText"/>
        <w:spacing w:before="43"/>
        <w:ind w:right="2"/>
        <w:jc w:val="center"/>
      </w:pPr>
      <w:r>
        <w:t>Lista de</w:t>
      </w:r>
      <w:r>
        <w:rPr>
          <w:spacing w:val="-1"/>
        </w:rPr>
        <w:t xml:space="preserve"> </w:t>
      </w:r>
      <w:r>
        <w:rPr>
          <w:spacing w:val="-2"/>
        </w:rPr>
        <w:t>lucrări</w:t>
      </w:r>
    </w:p>
    <w:p w14:paraId="6BC884FD" w14:textId="77777777" w:rsidR="00D71FAB" w:rsidRDefault="00D71FAB">
      <w:pPr>
        <w:spacing w:before="82"/>
        <w:rPr>
          <w:b/>
          <w:sz w:val="24"/>
        </w:rPr>
      </w:pPr>
    </w:p>
    <w:p w14:paraId="06A2D8A6" w14:textId="77777777" w:rsidR="00D71FAB" w:rsidRDefault="00146214">
      <w:pPr>
        <w:pStyle w:val="BodyText"/>
        <w:tabs>
          <w:tab w:val="left" w:pos="501"/>
        </w:tabs>
        <w:ind w:left="141"/>
      </w:pPr>
      <w:r>
        <w:rPr>
          <w:spacing w:val="-5"/>
        </w:rPr>
        <w:t>I.</w:t>
      </w:r>
      <w:r>
        <w:tab/>
        <w:t>TEZA</w:t>
      </w:r>
      <w:r>
        <w:rPr>
          <w:spacing w:val="-2"/>
        </w:rPr>
        <w:t xml:space="preserve"> </w:t>
      </w:r>
      <w:r>
        <w:t>(E)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DOCTORAT</w:t>
      </w:r>
      <w:r>
        <w:rPr>
          <w:spacing w:val="-1"/>
        </w:rPr>
        <w:t xml:space="preserve"> </w:t>
      </w:r>
      <w:r>
        <w:rPr>
          <w:spacing w:val="-5"/>
        </w:rPr>
        <w:t>(T)</w:t>
      </w:r>
    </w:p>
    <w:p w14:paraId="305DF9CD" w14:textId="77777777" w:rsidR="00D71FAB" w:rsidRDefault="00D71FAB">
      <w:pPr>
        <w:spacing w:before="130"/>
        <w:rPr>
          <w:b/>
          <w:sz w:val="24"/>
        </w:rPr>
      </w:pPr>
    </w:p>
    <w:p w14:paraId="2044E85E" w14:textId="77777777" w:rsidR="00D71FAB" w:rsidRDefault="00146214">
      <w:pPr>
        <w:spacing w:line="278" w:lineRule="auto"/>
        <w:ind w:left="141"/>
        <w:rPr>
          <w:sz w:val="24"/>
        </w:rPr>
      </w:pPr>
      <w:r>
        <w:rPr>
          <w:sz w:val="24"/>
        </w:rPr>
        <w:t>1.</w:t>
      </w:r>
      <w:r>
        <w:rPr>
          <w:spacing w:val="21"/>
          <w:sz w:val="24"/>
        </w:rPr>
        <w:t xml:space="preserve"> </w:t>
      </w:r>
      <w:r>
        <w:rPr>
          <w:sz w:val="24"/>
        </w:rPr>
        <w:t>C.-D.</w:t>
      </w:r>
      <w:r>
        <w:rPr>
          <w:spacing w:val="22"/>
          <w:sz w:val="24"/>
        </w:rPr>
        <w:t xml:space="preserve"> </w:t>
      </w:r>
      <w:r>
        <w:rPr>
          <w:sz w:val="24"/>
        </w:rPr>
        <w:t>Neacșu,</w:t>
      </w:r>
      <w:r>
        <w:rPr>
          <w:spacing w:val="21"/>
          <w:sz w:val="24"/>
        </w:rPr>
        <w:t xml:space="preserve"> </w:t>
      </w:r>
      <w:r>
        <w:rPr>
          <w:i/>
          <w:sz w:val="24"/>
        </w:rPr>
        <w:t>Geometric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structures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manifolds.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Submanifolds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applications</w:t>
      </w:r>
      <w:r>
        <w:rPr>
          <w:sz w:val="24"/>
        </w:rPr>
        <w:t>,</w:t>
      </w:r>
      <w:r>
        <w:rPr>
          <w:spacing w:val="20"/>
          <w:sz w:val="24"/>
        </w:rPr>
        <w:t xml:space="preserve"> </w:t>
      </w:r>
      <w:r>
        <w:rPr>
          <w:sz w:val="24"/>
        </w:rPr>
        <w:t>PhD</w:t>
      </w:r>
      <w:r>
        <w:rPr>
          <w:spacing w:val="20"/>
          <w:sz w:val="24"/>
        </w:rPr>
        <w:t xml:space="preserve"> </w:t>
      </w:r>
      <w:r>
        <w:rPr>
          <w:sz w:val="24"/>
        </w:rPr>
        <w:t>Thesis, UNSTPB, 2024.</w:t>
      </w:r>
    </w:p>
    <w:p w14:paraId="0E932F26" w14:textId="77777777" w:rsidR="00D71FAB" w:rsidRDefault="00146214">
      <w:pPr>
        <w:pStyle w:val="BodyText"/>
        <w:spacing w:before="274"/>
        <w:ind w:left="141"/>
      </w:pPr>
      <w:r>
        <w:t>IV.</w:t>
      </w:r>
      <w:r>
        <w:rPr>
          <w:spacing w:val="-3"/>
        </w:rPr>
        <w:t xml:space="preserve"> </w:t>
      </w:r>
      <w:r>
        <w:t>ARTICOLE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STUDII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EXTENSO</w:t>
      </w:r>
      <w:r>
        <w:rPr>
          <w:spacing w:val="-1"/>
        </w:rPr>
        <w:t xml:space="preserve"> </w:t>
      </w:r>
      <w:r>
        <w:t>PUBLICATE</w:t>
      </w:r>
      <w:r>
        <w:rPr>
          <w:spacing w:val="-1"/>
        </w:rPr>
        <w:t xml:space="preserve"> </w:t>
      </w:r>
      <w:r>
        <w:rPr>
          <w:spacing w:val="-2"/>
        </w:rPr>
        <w:t>(</w:t>
      </w:r>
      <w:proofErr w:type="gramStart"/>
      <w:r>
        <w:rPr>
          <w:spacing w:val="-2"/>
        </w:rPr>
        <w:t>R,V</w:t>
      </w:r>
      <w:proofErr w:type="gramEnd"/>
      <w:r>
        <w:rPr>
          <w:spacing w:val="-2"/>
        </w:rPr>
        <w:t>)</w:t>
      </w:r>
    </w:p>
    <w:p w14:paraId="3F8485D8" w14:textId="77777777" w:rsidR="00D71FAB" w:rsidRDefault="00D71FAB">
      <w:pPr>
        <w:spacing w:before="81"/>
        <w:rPr>
          <w:b/>
          <w:sz w:val="24"/>
        </w:rPr>
      </w:pPr>
    </w:p>
    <w:p w14:paraId="5A0F7C6B" w14:textId="77777777" w:rsidR="00D71FAB" w:rsidRDefault="00146214">
      <w:pPr>
        <w:spacing w:before="1" w:line="276" w:lineRule="auto"/>
        <w:ind w:left="141" w:right="143"/>
        <w:jc w:val="both"/>
        <w:rPr>
          <w:sz w:val="24"/>
        </w:rPr>
      </w:pPr>
      <w:r>
        <w:rPr>
          <w:b/>
          <w:sz w:val="24"/>
        </w:rPr>
        <w:t>Ris1.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C.-D. Neacșu, </w:t>
      </w:r>
      <w:r>
        <w:rPr>
          <w:i/>
          <w:sz w:val="24"/>
        </w:rPr>
        <w:t>On the stability of T-space forms</w:t>
      </w:r>
      <w:r>
        <w:rPr>
          <w:sz w:val="24"/>
        </w:rPr>
        <w:t>, J. Geom. Phys. 199 (2024), 105162. WOS:001221865500001, Factor de impact: 1.6, ISSN 0393-0440.</w:t>
      </w:r>
    </w:p>
    <w:p w14:paraId="1F25039E" w14:textId="77777777" w:rsidR="00D71FAB" w:rsidRDefault="00146214">
      <w:pPr>
        <w:spacing w:before="1" w:line="276" w:lineRule="auto"/>
        <w:ind w:left="141" w:right="138"/>
        <w:jc w:val="both"/>
        <w:rPr>
          <w:sz w:val="24"/>
        </w:rPr>
      </w:pPr>
      <w:r>
        <w:rPr>
          <w:b/>
          <w:sz w:val="24"/>
        </w:rPr>
        <w:t>Ris2.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C.-D.</w:t>
      </w:r>
      <w:r>
        <w:rPr>
          <w:spacing w:val="-9"/>
          <w:sz w:val="24"/>
        </w:rPr>
        <w:t xml:space="preserve"> </w:t>
      </w:r>
      <w:r>
        <w:rPr>
          <w:sz w:val="24"/>
        </w:rPr>
        <w:t>Neacșu,</w:t>
      </w:r>
      <w:r>
        <w:rPr>
          <w:spacing w:val="-8"/>
          <w:sz w:val="24"/>
        </w:rPr>
        <w:t xml:space="preserve"> </w:t>
      </w:r>
      <w:r>
        <w:rPr>
          <w:sz w:val="24"/>
        </w:rPr>
        <w:t>N.B.</w:t>
      </w:r>
      <w:r>
        <w:rPr>
          <w:spacing w:val="-6"/>
          <w:sz w:val="24"/>
        </w:rPr>
        <w:t xml:space="preserve"> </w:t>
      </w:r>
      <w:r>
        <w:rPr>
          <w:sz w:val="24"/>
        </w:rPr>
        <w:t>Turki,</w:t>
      </w:r>
      <w:r>
        <w:rPr>
          <w:spacing w:val="-8"/>
          <w:sz w:val="24"/>
        </w:rPr>
        <w:t xml:space="preserve"> </w:t>
      </w:r>
      <w:r>
        <w:rPr>
          <w:sz w:val="24"/>
        </w:rPr>
        <w:t>G.-E.</w:t>
      </w:r>
      <w:r>
        <w:rPr>
          <w:spacing w:val="-9"/>
          <w:sz w:val="24"/>
        </w:rPr>
        <w:t xml:space="preserve"> </w:t>
      </w:r>
      <w:r>
        <w:rPr>
          <w:sz w:val="24"/>
        </w:rPr>
        <w:t>Vîlcu,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Classification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quasi-product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production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models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with minimal isoquants</w:t>
      </w:r>
      <w:r>
        <w:rPr>
          <w:sz w:val="24"/>
        </w:rPr>
        <w:t>, Math. Methods Appl. Sci. 47(9) (2024), 7532-7545. WOS:001171156500001, Factor de impact: 2.1, ISSN 0170-4214.</w:t>
      </w:r>
    </w:p>
    <w:p w14:paraId="6A0889B4" w14:textId="77777777" w:rsidR="00D71FAB" w:rsidRDefault="00146214">
      <w:pPr>
        <w:spacing w:line="276" w:lineRule="auto"/>
        <w:ind w:left="141" w:right="141"/>
        <w:jc w:val="both"/>
        <w:rPr>
          <w:sz w:val="24"/>
        </w:rPr>
      </w:pPr>
      <w:r>
        <w:rPr>
          <w:b/>
          <w:sz w:val="24"/>
        </w:rPr>
        <w:t xml:space="preserve">Ris3. </w:t>
      </w:r>
      <w:r>
        <w:rPr>
          <w:sz w:val="24"/>
        </w:rPr>
        <w:t xml:space="preserve">M. Aquib, M.S. Lone, C.-D. Neacșu, G.-E. Vîlcu, </w:t>
      </w:r>
      <w:r>
        <w:rPr>
          <w:i/>
          <w:sz w:val="24"/>
        </w:rPr>
        <w:t>On delta-Casorati curvature invariants of Lagrangian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submanifolds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quaternionic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Kaehler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manifolds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constant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q-sectional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curvature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Rev. Real Acad. Cienc. Exactas Fis. Nat. Ser. A-Mat. 117 (2023), 107. WOS:000978346500001, Factor de impact: 1.8, ISSN 1578-7303.</w:t>
      </w:r>
    </w:p>
    <w:p w14:paraId="6497BF44" w14:textId="77777777" w:rsidR="00D71FAB" w:rsidRDefault="00146214">
      <w:pPr>
        <w:spacing w:line="276" w:lineRule="auto"/>
        <w:ind w:left="141" w:right="137"/>
        <w:jc w:val="both"/>
        <w:rPr>
          <w:sz w:val="24"/>
        </w:rPr>
      </w:pPr>
      <w:r>
        <w:rPr>
          <w:b/>
          <w:sz w:val="24"/>
        </w:rPr>
        <w:t xml:space="preserve">Ris4. </w:t>
      </w:r>
      <w:r>
        <w:rPr>
          <w:sz w:val="24"/>
        </w:rPr>
        <w:t xml:space="preserve">C.-D. Neacșu, </w:t>
      </w:r>
      <w:r>
        <w:rPr>
          <w:i/>
          <w:sz w:val="24"/>
        </w:rPr>
        <w:t>On some optimal inequalities for statistical submanifolds of statistical space forms</w:t>
      </w:r>
      <w:r>
        <w:rPr>
          <w:sz w:val="24"/>
        </w:rPr>
        <w:t>, Politehn. Univ. Bucharest Sci. Bull. Ser. A Appl. Math. Phys.</w:t>
      </w:r>
      <w:r>
        <w:rPr>
          <w:spacing w:val="40"/>
          <w:sz w:val="24"/>
        </w:rPr>
        <w:t xml:space="preserve"> </w:t>
      </w:r>
      <w:r>
        <w:rPr>
          <w:sz w:val="24"/>
        </w:rPr>
        <w:t>85 (2023), 107-118. WOS:000956056600011, Factor de impact: 0.7, ISSN 1223-7027.</w:t>
      </w:r>
    </w:p>
    <w:p w14:paraId="2C917DBA" w14:textId="77777777" w:rsidR="00D71FAB" w:rsidRDefault="00146214">
      <w:pPr>
        <w:spacing w:line="276" w:lineRule="auto"/>
        <w:ind w:left="141" w:right="141"/>
        <w:jc w:val="both"/>
        <w:rPr>
          <w:sz w:val="24"/>
        </w:rPr>
      </w:pPr>
      <w:r>
        <w:rPr>
          <w:b/>
          <w:sz w:val="24"/>
        </w:rPr>
        <w:t xml:space="preserve">Ris5. </w:t>
      </w:r>
      <w:r>
        <w:rPr>
          <w:sz w:val="24"/>
        </w:rPr>
        <w:t xml:space="preserve">C.-D. Neacșu, </w:t>
      </w:r>
      <w:r>
        <w:rPr>
          <w:i/>
          <w:sz w:val="24"/>
        </w:rPr>
        <w:t>On the stability of the quaternion projective space</w:t>
      </w:r>
      <w:r>
        <w:rPr>
          <w:sz w:val="24"/>
        </w:rPr>
        <w:t>, Reports on Mathematical Physics 94(03) (2024), 395-404. Factor de impact: 0.9, ISSN 0034-4877.</w:t>
      </w:r>
    </w:p>
    <w:p w14:paraId="6491233B" w14:textId="77777777" w:rsidR="00D71FAB" w:rsidRDefault="00146214">
      <w:pPr>
        <w:spacing w:before="1" w:line="276" w:lineRule="auto"/>
        <w:ind w:left="141" w:right="140"/>
        <w:jc w:val="both"/>
        <w:rPr>
          <w:sz w:val="24"/>
        </w:rPr>
      </w:pPr>
      <w:r>
        <w:rPr>
          <w:b/>
          <w:sz w:val="24"/>
        </w:rPr>
        <w:t xml:space="preserve">Ris6. </w:t>
      </w:r>
      <w:r>
        <w:rPr>
          <w:sz w:val="24"/>
        </w:rPr>
        <w:t xml:space="preserve">C.-D. Neacșu, G.-E. Vîlcu, </w:t>
      </w:r>
      <w:r>
        <w:rPr>
          <w:i/>
          <w:sz w:val="24"/>
        </w:rPr>
        <w:t>On the stability of generalized S-space forms with two structure vector fields</w:t>
      </w:r>
      <w:r>
        <w:rPr>
          <w:sz w:val="24"/>
        </w:rPr>
        <w:t>, Facta Universitatis - Series Mathematics and Informatics, în curs de publicare. ISSN 0352-9665. Mathscinet, Zentralblatt, Emerging Sources Citation Index (Factor de impact: 0.5).</w:t>
      </w:r>
    </w:p>
    <w:p w14:paraId="41C45EA4" w14:textId="6380709F" w:rsidR="001767FC" w:rsidRDefault="001767FC">
      <w:pPr>
        <w:spacing w:before="1" w:line="276" w:lineRule="auto"/>
        <w:ind w:left="141" w:right="140"/>
        <w:jc w:val="both"/>
        <w:rPr>
          <w:sz w:val="24"/>
        </w:rPr>
      </w:pPr>
      <w:r>
        <w:rPr>
          <w:b/>
          <w:sz w:val="24"/>
        </w:rPr>
        <w:t>Ris</w:t>
      </w:r>
      <w:r>
        <w:rPr>
          <w:b/>
          <w:sz w:val="24"/>
        </w:rPr>
        <w:t xml:space="preserve">7. </w:t>
      </w:r>
      <w:r w:rsidRPr="001767FC">
        <w:rPr>
          <w:sz w:val="24"/>
        </w:rPr>
        <w:t>A.A. Syied, C.-D. Neacșu, N.B. Turki, G</w:t>
      </w:r>
      <w:proofErr w:type="gramStart"/>
      <w:r w:rsidRPr="001767FC">
        <w:rPr>
          <w:sz w:val="24"/>
        </w:rPr>
        <w:t>-.E.</w:t>
      </w:r>
      <w:proofErr w:type="gramEnd"/>
      <w:r w:rsidRPr="001767FC">
        <w:rPr>
          <w:sz w:val="24"/>
        </w:rPr>
        <w:t xml:space="preserve"> Vîlcu, Investigations of warped product manifolds through the concircular curvature tensor with relativistic applications, Letters in Mathematical Physics (2025), 115, article number 10. WOS:001406626200001, Factor de impact: 1.4, ISSN 0377-9017.</w:t>
      </w:r>
    </w:p>
    <w:p w14:paraId="2F018665" w14:textId="77777777" w:rsidR="00D71FAB" w:rsidRDefault="00146214">
      <w:pPr>
        <w:spacing w:line="276" w:lineRule="auto"/>
        <w:ind w:left="141" w:right="141"/>
        <w:jc w:val="both"/>
        <w:rPr>
          <w:sz w:val="24"/>
        </w:rPr>
      </w:pPr>
      <w:r>
        <w:rPr>
          <w:b/>
          <w:sz w:val="24"/>
        </w:rPr>
        <w:t>Vi1.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C.-D.</w:t>
      </w:r>
      <w:r>
        <w:rPr>
          <w:spacing w:val="-10"/>
          <w:sz w:val="24"/>
        </w:rPr>
        <w:t xml:space="preserve"> </w:t>
      </w:r>
      <w:r>
        <w:rPr>
          <w:sz w:val="24"/>
        </w:rPr>
        <w:t>Neacșu,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Mixed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3-Sasakian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statistical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manifolds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statistical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submersions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In:</w:t>
      </w:r>
      <w:r>
        <w:rPr>
          <w:spacing w:val="-9"/>
          <w:sz w:val="24"/>
        </w:rPr>
        <w:t xml:space="preserve"> </w:t>
      </w:r>
      <w:r>
        <w:rPr>
          <w:sz w:val="24"/>
        </w:rPr>
        <w:t>Rovenski, V., Walczak, P., Wolak, R. (eds) Differential Geometric Structures and Applications. Springer Proceedings in Mathematics &amp; Statistics, vol. 440, Chapter 5, 89-115, Springer, Cham (2024). Mathscinet, Zentralblatt.</w:t>
      </w:r>
    </w:p>
    <w:p w14:paraId="0E46C282" w14:textId="77777777" w:rsidR="001767FC" w:rsidRDefault="001767FC">
      <w:pPr>
        <w:spacing w:line="276" w:lineRule="auto"/>
        <w:ind w:left="141" w:right="141"/>
        <w:jc w:val="both"/>
        <w:rPr>
          <w:sz w:val="24"/>
        </w:rPr>
      </w:pPr>
    </w:p>
    <w:p w14:paraId="688DA31C" w14:textId="77777777" w:rsidR="00D71FAB" w:rsidRDefault="00D71FAB">
      <w:pPr>
        <w:spacing w:before="39"/>
        <w:rPr>
          <w:sz w:val="24"/>
        </w:rPr>
      </w:pPr>
    </w:p>
    <w:p w14:paraId="1CB761E2" w14:textId="77777777" w:rsidR="00D71FAB" w:rsidRDefault="00146214">
      <w:pPr>
        <w:pStyle w:val="BodyText"/>
        <w:ind w:left="141"/>
      </w:pPr>
      <w:r>
        <w:t>VII.</w:t>
      </w:r>
      <w:r>
        <w:rPr>
          <w:spacing w:val="-2"/>
        </w:rPr>
        <w:t xml:space="preserve"> </w:t>
      </w:r>
      <w:r>
        <w:t>COMUNICĂRI</w:t>
      </w:r>
      <w:r>
        <w:rPr>
          <w:spacing w:val="-3"/>
        </w:rPr>
        <w:t xml:space="preserve"> </w:t>
      </w:r>
      <w:r>
        <w:t>ŞTIINŢIFICE</w:t>
      </w:r>
      <w:r>
        <w:rPr>
          <w:spacing w:val="-1"/>
        </w:rPr>
        <w:t xml:space="preserve"> </w:t>
      </w:r>
      <w:r>
        <w:rPr>
          <w:spacing w:val="-2"/>
        </w:rPr>
        <w:t>NEPUBLICATE</w:t>
      </w:r>
    </w:p>
    <w:p w14:paraId="4232E67B" w14:textId="77777777" w:rsidR="00D71FAB" w:rsidRDefault="00146214">
      <w:pPr>
        <w:spacing w:before="44" w:line="276" w:lineRule="auto"/>
        <w:ind w:left="141" w:right="136"/>
        <w:jc w:val="both"/>
        <w:rPr>
          <w:sz w:val="24"/>
        </w:rPr>
      </w:pPr>
      <w:r>
        <w:rPr>
          <w:b/>
          <w:sz w:val="24"/>
        </w:rPr>
        <w:t xml:space="preserve">E1. </w:t>
      </w:r>
      <w:r>
        <w:rPr>
          <w:sz w:val="24"/>
        </w:rPr>
        <w:t xml:space="preserve">C.-D. Neacșu, </w:t>
      </w:r>
      <w:r>
        <w:rPr>
          <w:i/>
          <w:sz w:val="24"/>
        </w:rPr>
        <w:t>Curvature invariants of Lagrangian submanifolds in quaternionic space forms</w:t>
      </w:r>
      <w:r>
        <w:rPr>
          <w:sz w:val="24"/>
        </w:rPr>
        <w:t>, Session of Mathematical Communications 2022, Ovidius University of Constanța, Faculty of Mathematics and Computer Science, December 10, 2022, Constanța (Romania).</w:t>
      </w:r>
    </w:p>
    <w:p w14:paraId="35C0CC2F" w14:textId="77777777" w:rsidR="00D71FAB" w:rsidRDefault="00146214">
      <w:pPr>
        <w:spacing w:line="276" w:lineRule="auto"/>
        <w:ind w:left="141" w:right="140"/>
        <w:jc w:val="both"/>
        <w:rPr>
          <w:sz w:val="24"/>
        </w:rPr>
      </w:pPr>
      <w:r>
        <w:rPr>
          <w:b/>
          <w:sz w:val="24"/>
        </w:rPr>
        <w:t xml:space="preserve">E2. </w:t>
      </w:r>
      <w:r>
        <w:rPr>
          <w:sz w:val="24"/>
        </w:rPr>
        <w:t xml:space="preserve">C.-D. Neacșu, </w:t>
      </w:r>
      <w:r>
        <w:rPr>
          <w:i/>
          <w:sz w:val="24"/>
        </w:rPr>
        <w:t>On some optimal Casorati inequalities</w:t>
      </w:r>
      <w:r>
        <w:rPr>
          <w:sz w:val="24"/>
        </w:rPr>
        <w:t xml:space="preserve">, The 4th International Workshop Differential Geometric Structures and Applications, May 11-13, 2023, Haifa University, Haifa </w:t>
      </w:r>
      <w:r>
        <w:rPr>
          <w:spacing w:val="-2"/>
          <w:sz w:val="24"/>
        </w:rPr>
        <w:t>(Israel).</w:t>
      </w:r>
    </w:p>
    <w:p w14:paraId="4065F633" w14:textId="38E12A8F" w:rsidR="00D71FAB" w:rsidRDefault="00146214">
      <w:pPr>
        <w:spacing w:line="276" w:lineRule="auto"/>
        <w:ind w:left="141" w:right="137"/>
        <w:jc w:val="both"/>
        <w:rPr>
          <w:sz w:val="24"/>
        </w:rPr>
      </w:pPr>
      <w:r>
        <w:rPr>
          <w:b/>
          <w:sz w:val="24"/>
        </w:rPr>
        <w:t xml:space="preserve">E3. </w:t>
      </w:r>
      <w:r>
        <w:rPr>
          <w:sz w:val="24"/>
        </w:rPr>
        <w:t xml:space="preserve">C.-D. Neacșu, G.-E. Vîlcu, </w:t>
      </w:r>
      <w:r>
        <w:rPr>
          <w:i/>
          <w:sz w:val="24"/>
        </w:rPr>
        <w:t>On the stability of the identity map of compact space forms</w:t>
      </w:r>
      <w:r>
        <w:rPr>
          <w:sz w:val="24"/>
        </w:rPr>
        <w:t>, XXII Geometrical Seminar, May 26-31, 20</w:t>
      </w:r>
      <w:r w:rsidR="00F14738">
        <w:rPr>
          <w:sz w:val="24"/>
        </w:rPr>
        <w:t>2</w:t>
      </w:r>
      <w:r>
        <w:rPr>
          <w:sz w:val="24"/>
        </w:rPr>
        <w:t>4, Vrnjacka Banja (Serbia).</w:t>
      </w:r>
    </w:p>
    <w:p w14:paraId="037DFC6C" w14:textId="49003007" w:rsidR="00F14738" w:rsidRDefault="00F14738">
      <w:pPr>
        <w:spacing w:line="276" w:lineRule="auto"/>
        <w:ind w:left="141" w:right="137"/>
        <w:jc w:val="both"/>
        <w:rPr>
          <w:sz w:val="24"/>
        </w:rPr>
      </w:pPr>
      <w:r>
        <w:rPr>
          <w:b/>
          <w:sz w:val="24"/>
        </w:rPr>
        <w:t>E4.</w:t>
      </w:r>
      <w:r>
        <w:rPr>
          <w:sz w:val="24"/>
        </w:rPr>
        <w:t xml:space="preserve"> C.-D. Neacșu, </w:t>
      </w:r>
      <w:r w:rsidRPr="00F14738">
        <w:rPr>
          <w:i/>
          <w:iCs/>
          <w:sz w:val="24"/>
        </w:rPr>
        <w:t>Statistical manifolds and statistical submersions</w:t>
      </w:r>
      <w:r>
        <w:rPr>
          <w:sz w:val="24"/>
        </w:rPr>
        <w:t xml:space="preserve">, Trends in Science and Technology, The Confluence of Mathematics, Physics and Computer Science, Petroleum-Gas </w:t>
      </w:r>
      <w:r>
        <w:rPr>
          <w:sz w:val="24"/>
        </w:rPr>
        <w:lastRenderedPageBreak/>
        <w:t>University of Ploiesti, June, 2025 (Romania).</w:t>
      </w:r>
    </w:p>
    <w:p w14:paraId="22A2D52D" w14:textId="77777777" w:rsidR="00D71FAB" w:rsidRDefault="00D71FAB">
      <w:pPr>
        <w:spacing w:before="41"/>
        <w:rPr>
          <w:sz w:val="24"/>
        </w:rPr>
      </w:pPr>
    </w:p>
    <w:p w14:paraId="2A1F432D" w14:textId="77777777" w:rsidR="00D71FAB" w:rsidRDefault="00D71FAB">
      <w:pPr>
        <w:jc w:val="both"/>
        <w:rPr>
          <w:sz w:val="24"/>
        </w:rPr>
        <w:sectPr w:rsidR="00D71FAB">
          <w:type w:val="continuous"/>
          <w:pgSz w:w="11920" w:h="16850"/>
          <w:pgMar w:top="1060" w:right="992" w:bottom="280" w:left="992" w:header="720" w:footer="720" w:gutter="0"/>
          <w:cols w:space="720"/>
        </w:sectPr>
      </w:pPr>
    </w:p>
    <w:tbl>
      <w:tblPr>
        <w:tblStyle w:val="TableGrid"/>
        <w:tblW w:w="0" w:type="auto"/>
        <w:tblInd w:w="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4"/>
      </w:tblGrid>
      <w:tr w:rsidR="000635BA" w14:paraId="2F331750" w14:textId="77777777" w:rsidTr="000635BA">
        <w:tc>
          <w:tcPr>
            <w:tcW w:w="3724" w:type="dxa"/>
          </w:tcPr>
          <w:p w14:paraId="79222D5C" w14:textId="18D1B5E8" w:rsidR="000635BA" w:rsidRDefault="000635BA">
            <w:pPr>
              <w:spacing w:before="71" w:after="2"/>
              <w:rPr>
                <w:sz w:val="24"/>
              </w:rPr>
            </w:pPr>
            <w:r>
              <w:rPr>
                <w:sz w:val="24"/>
              </w:rPr>
              <w:lastRenderedPageBreak/>
              <w:t>Data</w:t>
            </w:r>
          </w:p>
        </w:tc>
      </w:tr>
      <w:tr w:rsidR="000635BA" w14:paraId="0F626703" w14:textId="77777777" w:rsidTr="000635BA">
        <w:tc>
          <w:tcPr>
            <w:tcW w:w="3724" w:type="dxa"/>
          </w:tcPr>
          <w:p w14:paraId="56121953" w14:textId="6E81603D" w:rsidR="000635BA" w:rsidRDefault="000635BA">
            <w:pPr>
              <w:spacing w:before="71" w:after="2"/>
              <w:rPr>
                <w:sz w:val="24"/>
              </w:rPr>
            </w:pPr>
            <w:r>
              <w:rPr>
                <w:sz w:val="24"/>
              </w:rPr>
              <w:t>19.10.2025</w:t>
            </w:r>
          </w:p>
        </w:tc>
      </w:tr>
    </w:tbl>
    <w:p w14:paraId="1FAFA4C1" w14:textId="1D194785" w:rsidR="00146214" w:rsidRDefault="00017B11">
      <w:pPr>
        <w:spacing w:before="71" w:after="2"/>
        <w:ind w:left="6202"/>
        <w:rPr>
          <w:spacing w:val="-1"/>
          <w:sz w:val="24"/>
        </w:rPr>
      </w:pPr>
      <w:r>
        <w:rPr>
          <w:sz w:val="24"/>
        </w:rPr>
        <w:t>Lect. Dr.</w:t>
      </w:r>
    </w:p>
    <w:p w14:paraId="0C60E5F9" w14:textId="2132C5ED" w:rsidR="00D71FAB" w:rsidRDefault="00146214">
      <w:pPr>
        <w:spacing w:before="71" w:after="2"/>
        <w:ind w:left="6202"/>
        <w:rPr>
          <w:sz w:val="24"/>
        </w:rPr>
      </w:pPr>
      <w:r>
        <w:rPr>
          <w:sz w:val="24"/>
        </w:rPr>
        <w:t>Crina</w:t>
      </w:r>
      <w:r>
        <w:rPr>
          <w:spacing w:val="-2"/>
          <w:sz w:val="24"/>
        </w:rPr>
        <w:t xml:space="preserve"> </w:t>
      </w:r>
      <w:r>
        <w:rPr>
          <w:sz w:val="24"/>
        </w:rPr>
        <w:t>Daniela Săvescu-</w:t>
      </w:r>
      <w:r>
        <w:rPr>
          <w:spacing w:val="-2"/>
          <w:sz w:val="24"/>
        </w:rPr>
        <w:t>Neacșu</w:t>
      </w:r>
    </w:p>
    <w:p w14:paraId="7C634603" w14:textId="77777777" w:rsidR="00D71FAB" w:rsidRDefault="00146214">
      <w:pPr>
        <w:ind w:left="6861"/>
        <w:rPr>
          <w:sz w:val="20"/>
        </w:rPr>
      </w:pPr>
      <w:r>
        <w:rPr>
          <w:noProof/>
          <w:sz w:val="20"/>
        </w:rPr>
        <w:drawing>
          <wp:inline distT="0" distB="0" distL="0" distR="0" wp14:anchorId="0781E903" wp14:editId="1DD4DEC0">
            <wp:extent cx="660143" cy="6217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143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1FAB">
      <w:pgSz w:w="11920" w:h="16850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AB"/>
    <w:rsid w:val="00017B11"/>
    <w:rsid w:val="000635BA"/>
    <w:rsid w:val="00082C97"/>
    <w:rsid w:val="00146214"/>
    <w:rsid w:val="001767FC"/>
    <w:rsid w:val="0047495C"/>
    <w:rsid w:val="0061467B"/>
    <w:rsid w:val="00636DEF"/>
    <w:rsid w:val="007D71E9"/>
    <w:rsid w:val="00B76132"/>
    <w:rsid w:val="00D427C0"/>
    <w:rsid w:val="00D71FAB"/>
    <w:rsid w:val="00F1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B158"/>
  <w15:docId w15:val="{7ECB2ECD-F042-4476-95DC-5DE691BA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6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te a new document." ma:contentTypeScope="" ma:versionID="62086bf91e7395f73955552fd52468cc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412bea63fa8ea46e9e012e293c89e140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Props1.xml><?xml version="1.0" encoding="utf-8"?>
<ds:datastoreItem xmlns:ds="http://schemas.openxmlformats.org/officeDocument/2006/customXml" ds:itemID="{B6FA255A-A79C-4BFD-8886-815984C902F5}"/>
</file>

<file path=customXml/itemProps2.xml><?xml version="1.0" encoding="utf-8"?>
<ds:datastoreItem xmlns:ds="http://schemas.openxmlformats.org/officeDocument/2006/customXml" ds:itemID="{1BEEFE6F-12D3-4910-8645-F9310CC0E2B9}"/>
</file>

<file path=customXml/itemProps3.xml><?xml version="1.0" encoding="utf-8"?>
<ds:datastoreItem xmlns:ds="http://schemas.openxmlformats.org/officeDocument/2006/customXml" ds:itemID="{32124F1E-5CE1-4917-8E73-776C0B7F8C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Rasha CUSMA (14903)</dc:creator>
  <cp:lastModifiedBy>Crina Neacsu</cp:lastModifiedBy>
  <cp:revision>4</cp:revision>
  <dcterms:created xsi:type="dcterms:W3CDTF">2025-10-19T18:57:00Z</dcterms:created>
  <dcterms:modified xsi:type="dcterms:W3CDTF">2025-10-21T18:29:00Z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0x010100C8F679542FE49F49934E1AFA113FBFDB</vt:lpwstr>
  </property>
</Properties>
</file>